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p>
    <w:p w:rsidR="00207DE2" w:rsidRDefault="00207DE2">
      <w:pPr>
        <w:rPr>
          <w:rFonts w:ascii="Eurostile" w:hAnsi="Eurostile" w:cs="Eurostile"/>
          <w:b/>
          <w:bCs/>
          <w:sz w:val="28"/>
          <w:szCs w:val="28"/>
        </w:rPr>
      </w:pPr>
      <w:r>
        <w:rPr>
          <w:rFonts w:ascii="Eurostile" w:hAnsi="Eurostile" w:cs="Eurostile"/>
          <w:b/>
          <w:bCs/>
          <w:sz w:val="28"/>
          <w:szCs w:val="28"/>
        </w:rPr>
        <w:t>Montecito Investment Portfolios</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January 1, 2011</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Dear Fellow Investors,</w:t>
      </w:r>
    </w:p>
    <w:p w:rsidR="00207DE2" w:rsidRDefault="00207DE2">
      <w:pPr>
        <w:rPr>
          <w:rFonts w:ascii="Eurostile" w:hAnsi="Eurostile" w:cs="Eurostile"/>
          <w:sz w:val="28"/>
          <w:szCs w:val="28"/>
        </w:rPr>
      </w:pPr>
    </w:p>
    <w:p w:rsidR="00207DE2" w:rsidRDefault="00207DE2">
      <w:pPr>
        <w:rPr>
          <w:rFonts w:ascii="Eurostile" w:hAnsi="Eurostile" w:cs="Eurostile"/>
          <w:b/>
          <w:bCs/>
          <w:sz w:val="28"/>
          <w:szCs w:val="28"/>
        </w:rPr>
      </w:pPr>
      <w:r>
        <w:rPr>
          <w:rFonts w:ascii="Eurostile" w:hAnsi="Eurostile" w:cs="Eurostile"/>
          <w:b/>
          <w:bCs/>
          <w:sz w:val="28"/>
          <w:szCs w:val="28"/>
        </w:rPr>
        <w:t>The Depression has been canceled, but the Great Recession is not over.</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 xml:space="preserve">We hope that New-Year 2011 sees you in good health and full of optimism going forward.   We are pleased to report that the disciplines we invest by have proven themselves over the last few years.  By providing sustainable and forecastable income in the form of dividends and interest to our investors we were able to weather the toughest volatility in the investing markets our generation has seen.  We are pleased to report that the majority of our investors remained true to their long term investment plans and now have account values at or near all time high valuations – even with the Dow Jones Industrial average still over 2,000 points below its highs.  </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Certainly there is reason for optimism with the worst seemingly being behind us.  However, being in Fresno, away from the “Masters of the Universe” and the incestuous nature of the thought process and Ideas of Wall Street, allows us to cull through the same information and step back and assess it free from the chatter.  As a result, sometimes we don’t agree with the consensus view because to us it just doesn’t make common sense.   Wall Street says the recession is over, that it ended in the fourth quarter of 2009.  We disagree.  Certainly the Gross Domestic Product (GDP) has shown growth over the past four quarters and that is the economic yardstick for labeling the economy but we believe the GDP growth was “purchased” by the Federal Reserve and does not represent as yet sustainable real economic growth.  We offer the following as our empirical proof we are still in a difficult economic time that fundamentally is struggling.</w:t>
      </w:r>
    </w:p>
    <w:p w:rsidR="00207DE2" w:rsidRDefault="00207DE2">
      <w:pPr>
        <w:rPr>
          <w:rFonts w:ascii="Eurostile" w:hAnsi="Eurostile" w:cs="Eurostile"/>
          <w:sz w:val="28"/>
          <w:szCs w:val="28"/>
        </w:rPr>
      </w:pPr>
    </w:p>
    <w:p w:rsidR="00207DE2" w:rsidRDefault="00207DE2">
      <w:pPr>
        <w:pStyle w:val="ListParagraph"/>
        <w:numPr>
          <w:ilvl w:val="0"/>
          <w:numId w:val="1"/>
          <w:numberingChange w:id="0" w:author="Unknown" w:date="2011-01-10T08:38:00Z" w:original=""/>
        </w:numPr>
        <w:rPr>
          <w:rFonts w:ascii="Eurostile" w:hAnsi="Eurostile" w:cs="Eurostile"/>
          <w:sz w:val="28"/>
          <w:szCs w:val="28"/>
        </w:rPr>
      </w:pPr>
      <w:r>
        <w:rPr>
          <w:rFonts w:ascii="Eurostile" w:hAnsi="Eurostile" w:cs="Eurostile"/>
          <w:sz w:val="28"/>
          <w:szCs w:val="28"/>
        </w:rPr>
        <w:t>Unemployment is rampant in America.  We have included a chart (Chart 1) of both the “Official” unemployment, and the broader U6 number which tracks those without a job.  When nearly one in 5 employable people are under-employed or not working, we think this is a sign of a struggling economy</w:t>
      </w:r>
    </w:p>
    <w:p w:rsidR="00207DE2" w:rsidRDefault="00207DE2">
      <w:pPr>
        <w:pStyle w:val="ListParagraph"/>
        <w:ind w:left="1080"/>
        <w:rPr>
          <w:rFonts w:ascii="Eurostile" w:hAnsi="Eurostile" w:cs="Eurostile"/>
          <w:sz w:val="28"/>
          <w:szCs w:val="28"/>
        </w:rPr>
      </w:pPr>
    </w:p>
    <w:p w:rsidR="00207DE2" w:rsidRDefault="00207DE2">
      <w:pPr>
        <w:rPr>
          <w:rFonts w:ascii="Eurostile" w:hAnsi="Eurostile" w:cs="Eurostile"/>
          <w:sz w:val="28"/>
          <w:szCs w:val="28"/>
        </w:rPr>
      </w:pPr>
      <w:r>
        <w:rPr>
          <w:rFonts w:ascii="Times New Roman" w:hAnsi="Times New Roman" w:cs="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Unemployment thru 2010.gif" style="width:408.75pt;height:261.75pt;visibility:visible">
            <v:imagedata r:id="rId7" o:title=""/>
          </v:shape>
        </w:pict>
      </w:r>
    </w:p>
    <w:p w:rsidR="00207DE2" w:rsidRDefault="00207DE2">
      <w:pPr>
        <w:rPr>
          <w:rFonts w:ascii="Eurostile" w:hAnsi="Eurostile" w:cs="Eurostile"/>
          <w:sz w:val="22"/>
          <w:szCs w:val="22"/>
        </w:rPr>
      </w:pPr>
      <w:r>
        <w:rPr>
          <w:rFonts w:ascii="Eurostile" w:hAnsi="Eurostile" w:cs="Eurostile"/>
          <w:sz w:val="22"/>
          <w:szCs w:val="22"/>
        </w:rPr>
        <w:t>Chart #1 - Courtesy of ShadowStats.com</w:t>
      </w:r>
    </w:p>
    <w:p w:rsidR="00207DE2" w:rsidRDefault="00207DE2">
      <w:pPr>
        <w:pStyle w:val="ListParagraph"/>
        <w:ind w:left="1080"/>
        <w:rPr>
          <w:rFonts w:ascii="Eurostile" w:hAnsi="Eurostile" w:cs="Eurostile"/>
          <w:sz w:val="28"/>
          <w:szCs w:val="28"/>
        </w:rPr>
      </w:pPr>
    </w:p>
    <w:p w:rsidR="00207DE2" w:rsidRDefault="00207DE2">
      <w:pPr>
        <w:pStyle w:val="ListParagraph"/>
        <w:ind w:left="1080"/>
        <w:rPr>
          <w:rFonts w:ascii="Eurostile" w:hAnsi="Eurostile" w:cs="Eurostile"/>
          <w:sz w:val="28"/>
          <w:szCs w:val="28"/>
        </w:rPr>
      </w:pPr>
    </w:p>
    <w:p w:rsidR="00207DE2" w:rsidRDefault="00207DE2">
      <w:pPr>
        <w:pStyle w:val="ListParagraph"/>
        <w:numPr>
          <w:ilvl w:val="0"/>
          <w:numId w:val="1"/>
          <w:numberingChange w:id="1" w:author="Unknown" w:date="2011-01-10T08:38:00Z" w:original=""/>
        </w:numPr>
        <w:rPr>
          <w:rFonts w:ascii="Eurostile" w:hAnsi="Eurostile" w:cs="Eurostile"/>
          <w:sz w:val="28"/>
          <w:szCs w:val="28"/>
        </w:rPr>
      </w:pPr>
      <w:r>
        <w:rPr>
          <w:rFonts w:ascii="Eurostile" w:hAnsi="Eurostile" w:cs="Eurostile"/>
          <w:sz w:val="28"/>
          <w:szCs w:val="28"/>
        </w:rPr>
        <w:t>The Federal Reserve is making money available at the lowest possible rate – 0 to ¼% - and the Money supply is still shrinking (Chart 2).  Corporations and banks are deleveraging faster than the government can expand their balance sheet and prevent wholesale deflation.   Ask yourself the question – Do you know any business that is adding debt presently?</w:t>
      </w:r>
    </w:p>
    <w:p w:rsidR="00207DE2" w:rsidRDefault="00207DE2">
      <w:pPr>
        <w:pStyle w:val="ListParagraph"/>
        <w:ind w:left="1080"/>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 xml:space="preserve">   </w:t>
      </w:r>
      <w:r>
        <w:rPr>
          <w:rFonts w:ascii="Times New Roman" w:hAnsi="Times New Roman" w:cs="Times New Roman"/>
          <w:noProof/>
        </w:rPr>
        <w:pict>
          <v:shape id="Picture 0" o:spid="_x0000_i1026" type="#_x0000_t75" alt="M3 Chart thru 2010.gif" style="width:420.75pt;height:247.5pt;visibility:visible">
            <v:imagedata r:id="rId8" o:title=""/>
          </v:shape>
        </w:pict>
      </w:r>
    </w:p>
    <w:p w:rsidR="00207DE2" w:rsidRDefault="00207DE2">
      <w:pPr>
        <w:rPr>
          <w:rFonts w:ascii="Eurostile" w:hAnsi="Eurostile" w:cs="Eurostile"/>
          <w:sz w:val="22"/>
          <w:szCs w:val="22"/>
        </w:rPr>
      </w:pPr>
      <w:r>
        <w:rPr>
          <w:rFonts w:ascii="Eurostile" w:hAnsi="Eurostile" w:cs="Eurostile"/>
          <w:sz w:val="22"/>
          <w:szCs w:val="22"/>
        </w:rPr>
        <w:t>Chart #2 - Courtesy of ShadowStats.com</w:t>
      </w:r>
    </w:p>
    <w:p w:rsidR="00207DE2" w:rsidRDefault="00207DE2">
      <w:pPr>
        <w:pStyle w:val="ListParagraph"/>
        <w:ind w:left="1080"/>
        <w:rPr>
          <w:rFonts w:ascii="Eurostile" w:hAnsi="Eurostile" w:cs="Eurostile"/>
          <w:sz w:val="28"/>
          <w:szCs w:val="28"/>
        </w:rPr>
      </w:pPr>
    </w:p>
    <w:p w:rsidR="00207DE2" w:rsidRDefault="00207DE2">
      <w:pPr>
        <w:pStyle w:val="ListParagraph"/>
        <w:numPr>
          <w:ilvl w:val="0"/>
          <w:numId w:val="1"/>
          <w:numberingChange w:id="2" w:author="Unknown" w:date="2011-01-10T08:38:00Z" w:original=""/>
        </w:numPr>
        <w:rPr>
          <w:rFonts w:ascii="Eurostile" w:hAnsi="Eurostile" w:cs="Eurostile"/>
          <w:sz w:val="28"/>
          <w:szCs w:val="28"/>
        </w:rPr>
      </w:pPr>
      <w:r>
        <w:rPr>
          <w:rFonts w:ascii="Eurostile" w:hAnsi="Eurostile" w:cs="Eurostile"/>
          <w:sz w:val="28"/>
          <w:szCs w:val="28"/>
        </w:rPr>
        <w:t xml:space="preserve">Housing prices have still not stabilized and the backlog of foreclosures and unsold homes remains at very high levels.   Many banks are requiring more than 20% down to even consider writing a home loan. </w:t>
      </w:r>
    </w:p>
    <w:p w:rsidR="00207DE2" w:rsidRDefault="00207DE2">
      <w:pPr>
        <w:pStyle w:val="ListParagraph"/>
        <w:numPr>
          <w:ilvl w:val="0"/>
          <w:numId w:val="1"/>
          <w:numberingChange w:id="3" w:author="Unknown" w:date="2011-01-10T08:38:00Z" w:original=""/>
        </w:numPr>
        <w:rPr>
          <w:rFonts w:ascii="Eurostile" w:hAnsi="Eurostile" w:cs="Eurostile"/>
          <w:sz w:val="28"/>
          <w:szCs w:val="28"/>
        </w:rPr>
      </w:pPr>
      <w:r>
        <w:rPr>
          <w:rFonts w:ascii="Eurostile" w:hAnsi="Eurostile" w:cs="Eurostile"/>
          <w:sz w:val="28"/>
          <w:szCs w:val="28"/>
        </w:rPr>
        <w:t>Banks are now secured asset lenders and presently not investing with companies in growth.</w:t>
      </w:r>
    </w:p>
    <w:p w:rsidR="00207DE2" w:rsidRDefault="00207DE2">
      <w:pPr>
        <w:pStyle w:val="ListParagraph"/>
        <w:numPr>
          <w:ilvl w:val="0"/>
          <w:numId w:val="1"/>
          <w:numberingChange w:id="4" w:author="Unknown" w:date="2011-01-10T08:38:00Z" w:original=""/>
        </w:numPr>
        <w:rPr>
          <w:rFonts w:ascii="Eurostile" w:hAnsi="Eurostile" w:cs="Eurostile"/>
          <w:sz w:val="28"/>
          <w:szCs w:val="28"/>
        </w:rPr>
      </w:pPr>
      <w:r>
        <w:rPr>
          <w:rFonts w:ascii="Eurostile" w:hAnsi="Eurostile" w:cs="Eurostile"/>
          <w:sz w:val="28"/>
          <w:szCs w:val="28"/>
        </w:rPr>
        <w:t>State and Municipal finances are a mess and many cities and agencies are considering bankruptcy.  Even without bankruptcy filings there are continued furloughs and cuts in services.</w:t>
      </w:r>
    </w:p>
    <w:p w:rsidR="00207DE2" w:rsidRDefault="00207DE2">
      <w:pPr>
        <w:pStyle w:val="ListParagraph"/>
        <w:numPr>
          <w:ilvl w:val="0"/>
          <w:numId w:val="1"/>
          <w:numberingChange w:id="5" w:author="Unknown" w:date="2011-01-10T08:38:00Z" w:original=""/>
        </w:numPr>
        <w:rPr>
          <w:rFonts w:ascii="Eurostile" w:hAnsi="Eurostile" w:cs="Eurostile"/>
          <w:sz w:val="28"/>
          <w:szCs w:val="28"/>
        </w:rPr>
      </w:pPr>
      <w:r>
        <w:rPr>
          <w:rFonts w:ascii="Eurostile" w:hAnsi="Eurostile" w:cs="Eurostile"/>
          <w:sz w:val="28"/>
          <w:szCs w:val="28"/>
        </w:rPr>
        <w:t>The specter of the US Dollar losing its status as the world’s reserve currency</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While harsh realities should not be ignored, history has shown us the best time to invest is not when optimism rules the day (As was the case in 2000 or 2007) but rather when there are legitimate concerns that need to be overcome.   Each of these negatives has a corresponding solution that could be positive in the future.   It will take time however to work through these problems which we welcome as we are long term investors, and not short term speculators.  We know that with life expectancy extending, and people investing not just for themselves, but for the next generation as well, a true investor’s time horizon is measured in years and decades, not days, weeks and quarters.   Let’s look at the flip side of these harsh realities…</w:t>
      </w:r>
    </w:p>
    <w:p w:rsidR="00207DE2" w:rsidRDefault="00207DE2">
      <w:pPr>
        <w:rPr>
          <w:rFonts w:ascii="Eurostile" w:hAnsi="Eurostile" w:cs="Eurostile"/>
          <w:sz w:val="28"/>
          <w:szCs w:val="28"/>
        </w:rPr>
      </w:pPr>
    </w:p>
    <w:p w:rsidR="00207DE2" w:rsidRDefault="00207DE2">
      <w:pPr>
        <w:pStyle w:val="ListParagraph"/>
        <w:numPr>
          <w:ilvl w:val="0"/>
          <w:numId w:val="1"/>
          <w:numberingChange w:id="6" w:author="Unknown" w:date="2011-01-10T08:38:00Z" w:original=""/>
        </w:numPr>
        <w:rPr>
          <w:rFonts w:ascii="Eurostile" w:hAnsi="Eurostile" w:cs="Eurostile"/>
          <w:sz w:val="28"/>
          <w:szCs w:val="28"/>
        </w:rPr>
      </w:pPr>
      <w:r>
        <w:rPr>
          <w:rFonts w:ascii="Eurostile" w:hAnsi="Eurostile" w:cs="Eurostile"/>
          <w:sz w:val="28"/>
          <w:szCs w:val="28"/>
        </w:rPr>
        <w:t>Unemployment is improving and we have a labor pool ready to work for reasonable wages.  We feel the worst is behind us and as people find jobs, confidence will improve.</w:t>
      </w:r>
    </w:p>
    <w:p w:rsidR="00207DE2" w:rsidRDefault="00207DE2">
      <w:pPr>
        <w:pStyle w:val="ListParagraph"/>
        <w:numPr>
          <w:ilvl w:val="0"/>
          <w:numId w:val="1"/>
          <w:numberingChange w:id="7" w:author="Unknown" w:date="2011-01-10T08:38:00Z" w:original=""/>
        </w:numPr>
        <w:rPr>
          <w:rFonts w:ascii="Eurostile" w:hAnsi="Eurostile" w:cs="Eurostile"/>
          <w:sz w:val="28"/>
          <w:szCs w:val="28"/>
        </w:rPr>
      </w:pPr>
      <w:r>
        <w:rPr>
          <w:rFonts w:ascii="Eurostile" w:hAnsi="Eurostile" w:cs="Eurostile"/>
          <w:sz w:val="28"/>
          <w:szCs w:val="28"/>
        </w:rPr>
        <w:t>The Federal Reserve did a masterful job of reacting with speed and necessary liquidity to stave off a deflationary spiral that could have imploded our financial system much like the 1930’s.  Now corporations have been able to refinance debt at lower levels, raise cash, and improve their balance sheets.  Our major banks have been solidified and the base of capital is set to fund growth into the future.</w:t>
      </w:r>
    </w:p>
    <w:p w:rsidR="00207DE2" w:rsidRDefault="00207DE2">
      <w:pPr>
        <w:pStyle w:val="ListParagraph"/>
        <w:numPr>
          <w:ilvl w:val="0"/>
          <w:numId w:val="1"/>
          <w:numberingChange w:id="8" w:author="Unknown" w:date="2011-01-10T08:38:00Z" w:original=""/>
        </w:numPr>
        <w:rPr>
          <w:rFonts w:ascii="Eurostile" w:hAnsi="Eurostile" w:cs="Eurostile"/>
          <w:sz w:val="28"/>
          <w:szCs w:val="28"/>
        </w:rPr>
      </w:pPr>
      <w:r>
        <w:rPr>
          <w:rFonts w:ascii="Eurostile" w:hAnsi="Eurostile" w:cs="Eurostile"/>
          <w:sz w:val="28"/>
          <w:szCs w:val="28"/>
        </w:rPr>
        <w:t>Population growth continues in the United States through births and immigration.  As it does there are new household formations that will be absorbing the inventory of homes.  With mortgage rates as low as they are, owners of homes have a unique opportunity to fix their “Rent” at more affordable levels.  And homebuilders have reined in construction to allow for a work off of existing inventory.   House’s are selling below replacement cost and mortgages are the same payments as rent (Chart 3).  The price decline is either at or very near the bottom (Chart 4).  It is a slow road back to improving values, but we believe the corner has been turned.</w:t>
      </w:r>
      <w:r>
        <w:rPr>
          <w:rFonts w:ascii="Eurostile" w:hAnsi="Eurostile" w:cs="Eurostile"/>
          <w:noProof/>
          <w:sz w:val="22"/>
          <w:szCs w:val="22"/>
        </w:rPr>
        <w:t xml:space="preserve"> </w:t>
      </w:r>
    </w:p>
    <w:p w:rsidR="00207DE2" w:rsidRDefault="00207DE2">
      <w:pPr>
        <w:pStyle w:val="ListParagraph"/>
        <w:ind w:left="1080"/>
        <w:rPr>
          <w:rFonts w:ascii="Eurostile" w:hAnsi="Eurostile" w:cs="Eurostile"/>
          <w:sz w:val="28"/>
          <w:szCs w:val="28"/>
        </w:rPr>
      </w:pPr>
    </w:p>
    <w:p w:rsidR="00207DE2" w:rsidRDefault="00207DE2">
      <w:pPr>
        <w:pStyle w:val="ListParagraph"/>
        <w:ind w:left="1080"/>
        <w:rPr>
          <w:rFonts w:ascii="Eurostile" w:hAnsi="Eurostile" w:cs="Eurostile"/>
          <w:sz w:val="28"/>
          <w:szCs w:val="28"/>
        </w:rPr>
      </w:pPr>
      <w:r>
        <w:rPr>
          <w:rFonts w:ascii="Eurostile" w:hAnsi="Eurostile" w:cs="Eurostile"/>
          <w:noProof/>
          <w:sz w:val="28"/>
          <w:szCs w:val="28"/>
        </w:rPr>
        <w:pict>
          <v:shape id="_x0000_i1027" type="#_x0000_t75" alt="us_home_prices_vs_rents 2010.png" style="width:335.25pt;height:253.5pt;visibility:visible">
            <v:imagedata r:id="rId9" o:title=""/>
          </v:shape>
        </w:pict>
      </w:r>
    </w:p>
    <w:p w:rsidR="00207DE2" w:rsidRDefault="00207DE2">
      <w:pPr>
        <w:pStyle w:val="ListParagraph"/>
        <w:ind w:left="1080"/>
        <w:rPr>
          <w:rFonts w:ascii="Eurostile" w:hAnsi="Eurostile" w:cs="Eurostile"/>
          <w:sz w:val="22"/>
          <w:szCs w:val="22"/>
        </w:rPr>
      </w:pPr>
      <w:r>
        <w:rPr>
          <w:rFonts w:ascii="Eurostile" w:hAnsi="Eurostile" w:cs="Eurostile"/>
          <w:sz w:val="22"/>
          <w:szCs w:val="22"/>
        </w:rPr>
        <w:t>Chart 3</w:t>
      </w:r>
    </w:p>
    <w:p w:rsidR="00207DE2" w:rsidRDefault="00207DE2">
      <w:pPr>
        <w:pStyle w:val="ListParagraph"/>
        <w:ind w:left="1080"/>
        <w:rPr>
          <w:rFonts w:ascii="Eurostile" w:hAnsi="Eurostile" w:cs="Eurostile"/>
          <w:sz w:val="22"/>
          <w:szCs w:val="22"/>
        </w:rPr>
      </w:pPr>
      <w:r>
        <w:rPr>
          <w:rFonts w:ascii="Eurostile" w:hAnsi="Eurostile" w:cs="Eurostile"/>
          <w:sz w:val="22"/>
          <w:szCs w:val="22"/>
        </w:rPr>
        <w:t>Courtesy of Big Charts.com</w:t>
      </w:r>
    </w:p>
    <w:p w:rsidR="00207DE2" w:rsidRDefault="00207DE2">
      <w:pPr>
        <w:pStyle w:val="ListParagraph"/>
        <w:ind w:left="1080"/>
        <w:rPr>
          <w:rFonts w:ascii="Eurostile" w:hAnsi="Eurostile" w:cs="Eurostile"/>
          <w:sz w:val="28"/>
          <w:szCs w:val="28"/>
        </w:rPr>
      </w:pPr>
    </w:p>
    <w:p w:rsidR="00207DE2" w:rsidRDefault="00207DE2">
      <w:pPr>
        <w:pStyle w:val="ListParagraph"/>
        <w:ind w:left="1080"/>
        <w:rPr>
          <w:rFonts w:ascii="Eurostile" w:hAnsi="Eurostile" w:cs="Eurostile"/>
          <w:sz w:val="28"/>
          <w:szCs w:val="28"/>
        </w:rPr>
      </w:pPr>
      <w:r>
        <w:rPr>
          <w:rFonts w:ascii="Eurostile" w:hAnsi="Eurostile" w:cs="Eurostile"/>
          <w:noProof/>
          <w:sz w:val="28"/>
          <w:szCs w:val="28"/>
        </w:rPr>
        <w:pict>
          <v:shape id="Picture 4" o:spid="_x0000_i1028" type="#_x0000_t75" alt="united_states house px 2010.png" style="width:335.25pt;height:253.5pt;visibility:visible">
            <v:imagedata r:id="rId10" o:title=""/>
          </v:shape>
        </w:pict>
      </w:r>
    </w:p>
    <w:p w:rsidR="00207DE2" w:rsidRDefault="00207DE2">
      <w:pPr>
        <w:pStyle w:val="ListParagraph"/>
        <w:ind w:left="1080"/>
        <w:rPr>
          <w:rFonts w:ascii="Eurostile" w:hAnsi="Eurostile" w:cs="Eurostile"/>
          <w:sz w:val="22"/>
          <w:szCs w:val="22"/>
        </w:rPr>
      </w:pPr>
      <w:r>
        <w:rPr>
          <w:rFonts w:ascii="Eurostile" w:hAnsi="Eurostile" w:cs="Eurostile"/>
          <w:sz w:val="22"/>
          <w:szCs w:val="22"/>
        </w:rPr>
        <w:t>Chart 4</w:t>
      </w:r>
    </w:p>
    <w:p w:rsidR="00207DE2" w:rsidRDefault="00207DE2">
      <w:pPr>
        <w:pStyle w:val="ListParagraph"/>
        <w:ind w:left="1080"/>
        <w:rPr>
          <w:rFonts w:ascii="Eurostile" w:hAnsi="Eurostile" w:cs="Eurostile"/>
          <w:sz w:val="22"/>
          <w:szCs w:val="22"/>
        </w:rPr>
      </w:pPr>
      <w:r>
        <w:rPr>
          <w:rFonts w:ascii="Eurostile" w:hAnsi="Eurostile" w:cs="Eurostile"/>
          <w:sz w:val="22"/>
          <w:szCs w:val="22"/>
        </w:rPr>
        <w:t>Courtesy of BigCharts.com</w:t>
      </w:r>
    </w:p>
    <w:p w:rsidR="00207DE2" w:rsidRDefault="00207DE2">
      <w:pPr>
        <w:pStyle w:val="ListParagraph"/>
        <w:ind w:left="1080"/>
        <w:rPr>
          <w:rFonts w:ascii="Eurostile" w:hAnsi="Eurostile" w:cs="Eurostile"/>
          <w:sz w:val="28"/>
          <w:szCs w:val="28"/>
        </w:rPr>
      </w:pPr>
    </w:p>
    <w:p w:rsidR="00207DE2" w:rsidRDefault="00207DE2">
      <w:pPr>
        <w:pStyle w:val="ListParagraph"/>
        <w:ind w:left="1080"/>
        <w:rPr>
          <w:rFonts w:ascii="Eurostile" w:hAnsi="Eurostile" w:cs="Eurostile"/>
          <w:i/>
          <w:iCs/>
          <w:sz w:val="22"/>
          <w:szCs w:val="22"/>
        </w:rPr>
      </w:pPr>
      <w:r>
        <w:rPr>
          <w:rFonts w:ascii="Tahoma" w:hAnsi="Tahoma" w:cs="Tahoma"/>
          <w:i/>
          <w:iCs/>
          <w:sz w:val="22"/>
          <w:szCs w:val="22"/>
        </w:rPr>
        <w:t>Charts 3 and 4 estimates the market value of today's median-priced house over time. The trailing nominal prices are derived by taking the recent median price of existing single-family homes, as reported by the National Association of Realtors, and discounting it by the S&amp;P/Case-Shiller National Home Price Index. From 1975 through 1986, the FHFA House Price Index is used. From 1970 through 1974, the Freddie Mac Conventional Mortgage Home Price Index is used. The S&amp;P/Case-Shiller HPI, FHFA HPI, and Freddie Mac CMHPI are "constant quality" indices, so even though houses are built larger today than they were many years ago, this graph automatically adjusts for this variation. The trailing inflation-adjusted prices are then derived by adjusting the nominal prices by the CPI-U Research Series Using Current Methods. Prior to Q4 1977, the CPI - All Items Less Shelter is used. (Source BigCharts.com)</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pStyle w:val="ListParagraph"/>
        <w:numPr>
          <w:ilvl w:val="0"/>
          <w:numId w:val="1"/>
          <w:numberingChange w:id="9" w:author="Unknown" w:date="2011-01-10T08:38:00Z" w:original=""/>
        </w:numPr>
        <w:rPr>
          <w:rFonts w:ascii="Eurostile" w:hAnsi="Eurostile" w:cs="Eurostile"/>
          <w:sz w:val="28"/>
          <w:szCs w:val="28"/>
        </w:rPr>
      </w:pPr>
      <w:r>
        <w:rPr>
          <w:rFonts w:ascii="Eurostile" w:hAnsi="Eurostile" w:cs="Eurostile"/>
          <w:sz w:val="28"/>
          <w:szCs w:val="28"/>
        </w:rPr>
        <w:t>Banks have embraced conservative lending practices and become the conscious partner to reign in corporate speculation.  This implies higher quality and more predictable corporate profits going forward.</w:t>
      </w:r>
    </w:p>
    <w:p w:rsidR="00207DE2" w:rsidRDefault="00207DE2">
      <w:pPr>
        <w:pStyle w:val="ListParagraph"/>
        <w:numPr>
          <w:ilvl w:val="0"/>
          <w:numId w:val="1"/>
          <w:numberingChange w:id="10" w:author="Unknown" w:date="2011-01-10T08:38:00Z" w:original=""/>
        </w:numPr>
        <w:rPr>
          <w:rFonts w:ascii="Eurostile" w:hAnsi="Eurostile" w:cs="Eurostile"/>
          <w:sz w:val="28"/>
          <w:szCs w:val="28"/>
        </w:rPr>
      </w:pPr>
      <w:r>
        <w:rPr>
          <w:rFonts w:ascii="Eurostile" w:hAnsi="Eurostile" w:cs="Eurostile"/>
          <w:sz w:val="28"/>
          <w:szCs w:val="28"/>
        </w:rPr>
        <w:t>States and Municipalities dealing with bloated payrolls and excess services may be the first wave of bringing common sense back to government.   While we think there may be extreme headline news coverage on this subject in the coming year, we feel the Federal Government will act in the same manner as the European Union and provide bailout funds for the states that need it.  But, at a cost.  The cost will be fiscal austerity.  We feel they should get to it sooner rather than later.  As one of our partners said, “Pull the band-aid off quickly and get it over with and behind us”.</w:t>
      </w:r>
    </w:p>
    <w:p w:rsidR="00207DE2" w:rsidRDefault="00207DE2">
      <w:pPr>
        <w:pStyle w:val="ListParagraph"/>
        <w:numPr>
          <w:ilvl w:val="0"/>
          <w:numId w:val="1"/>
          <w:numberingChange w:id="11" w:author="Unknown" w:date="2011-01-10T08:38:00Z" w:original=""/>
        </w:numPr>
        <w:rPr>
          <w:rFonts w:ascii="Eurostile" w:hAnsi="Eurostile" w:cs="Eurostile"/>
          <w:sz w:val="28"/>
          <w:szCs w:val="28"/>
        </w:rPr>
      </w:pPr>
      <w:r>
        <w:rPr>
          <w:rFonts w:ascii="Eurostile" w:hAnsi="Eurostile" w:cs="Eurostile"/>
          <w:sz w:val="28"/>
          <w:szCs w:val="28"/>
        </w:rPr>
        <w:t>The US as a reserve currency has served its purpose since the end of the Second World War.  Now finance, trade, and economics are global in nature.  As such the economic currency should be more completely integrated to create a stable, level playing field.  Yes there will be some disruptions of imports and exports in adapting to a new reserve basket of currencies, but in the end innovation and knowledge will still provide organic growth.</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 xml:space="preserve">So now we get to that section of an annual state of the markets letter where we do the most foolish thing an investment manager can do – make forecasts.  Without the aid of a crystal ball there are too many changing influences and surprises that erode our fortune telling capabilities.  However, we are going to attempt dabbling in the ancient art of forecasting.  </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We still run our portfolios from the bottom up – focusing on the individual investments themselves, knowing that over time if we do our work well, carefully chosen investments should provide the returns we are looking for – regardless of the short-term volatility of the market.  Let’s review last year’s forecasts and update them with our look forward for 2011</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Last year we forecasted that interest rates would start to rise in 2010.  Certainly the Federal Reserve has kept short-term rates at artificially low levels to keep liquidity in the financial system.  Currently the 10-year yield is below where we came into 2010.  So we certainly got that prediction wrong!  But even in the face of Quantitative Easing 2 the longer-term rates, after declining in the middle of the year, have started to move back to the levels of 2008 and 2009.  We feel the major multi-decade secular move down in interest rates is over.  Sometime soon we believe a new trend will occur in interest rates– one of gradually increasing rates.  We forecast this rising trend will last for a decade or longer and eventually take us to double digits again.  Don’t panic, that may be twenty years from now.  Our forecast for 2011 is that the bottoming process will be completed and this trend we are looking for will begin.  So rates on the U.S. 10-year Treasury Notes will be higher at year-end 2011.</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Last year we forecasted the stock market would be up single digits in 2010.  The Standard and Poor’s 500 with dividends reinvested was up 15.26% according to Thomsen Reuters in 2010.  So even while we had the direction correct (up) we missed on the magnitude.  Our thesis of rising interest rates leading to P/E Compression never materialized. With the Federal Reserve’s desire to maintain liquidity, investment capital found was placed for higher returns.  In 2011 the good news of a slowly growing economy, will finally allow for the Fed Funds rate to come off the floor.  When it does, we think the markets will anticipate and factor in PE Compression.  Fortunately there will be higher corporate profits to offset the PE Compression and higher dividend payouts as well.  In 2011 we see the stock market up by single digits.</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Last year we predicted that Commercial Real Estate would hit its trough in the first half of the year.  We have to say that the jury is still out on when the trough will have been put in.  We can say the deal flow appears to have bottomed.  We agree with our industry sources that it is anticipated to pick up strongly in 2011.  Further, we see evidence that lending (at appraisal levels based on higher cap rates) has already picked up.  But, rent roll backs on expiring leases are still an issue that needs to be dealt with in many areas.  Our sources tell us that stabilization of pricing may have occurred this year but there is still a huge need for economic activity to pick up to maintain these levels.  Our prediction for this year – commercial real estate will see a flat year and a longer bottoming process.</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We are not going to shy away from controversy in this letter.  So we are going to put in print a few things that are longer-term forecasts – knowing that anything can happen, we presently feel these could very well come to pass during this decade.   It is a fun exercise designed to simulate conversation and five years from now we will look back and have fun with it over a glass of wine.</w:t>
      </w:r>
    </w:p>
    <w:p w:rsidR="00207DE2" w:rsidRDefault="00207DE2">
      <w:pPr>
        <w:rPr>
          <w:rFonts w:ascii="Eurostile" w:hAnsi="Eurostile" w:cs="Eurostile"/>
          <w:sz w:val="28"/>
          <w:szCs w:val="28"/>
        </w:rPr>
      </w:pPr>
    </w:p>
    <w:p w:rsidR="00207DE2" w:rsidRDefault="00207DE2">
      <w:pPr>
        <w:pStyle w:val="ListParagraph"/>
        <w:numPr>
          <w:ilvl w:val="0"/>
          <w:numId w:val="1"/>
          <w:numberingChange w:id="12" w:author="Unknown" w:date="2011-01-10T08:38:00Z" w:original=""/>
        </w:numPr>
        <w:rPr>
          <w:rFonts w:ascii="Eurostile" w:hAnsi="Eurostile" w:cs="Eurostile"/>
          <w:sz w:val="28"/>
          <w:szCs w:val="28"/>
        </w:rPr>
      </w:pPr>
      <w:r>
        <w:rPr>
          <w:rFonts w:ascii="Eurostile" w:hAnsi="Eurostile" w:cs="Eurostile"/>
          <w:sz w:val="28"/>
          <w:szCs w:val="28"/>
        </w:rPr>
        <w:t>The government will not shrink on an absolute basis, but will institute mandates that will keep it from growing more than the economy until such time as it shrinks to a reasonable percentage of GDP.  According to guest analysts on Bloomberg radio, during the Clinton and Bush administrations the government was under 20% of GDP.  They state that presently it is closer to 25%.  We believe that is unsustainable.  A recovery in the economy without a corresponding growth of government would bring that ratio back in line.  But to bring the balance sheet of the United States back to true AAA status we feel will require us taking government to closer to 16% of GDP in twenty years – We think the lessons we are learning now will lead to that outcome.</w:t>
      </w:r>
    </w:p>
    <w:p w:rsidR="00207DE2" w:rsidRDefault="00207DE2">
      <w:pPr>
        <w:pStyle w:val="ListParagraph"/>
        <w:numPr>
          <w:ilvl w:val="0"/>
          <w:numId w:val="1"/>
          <w:numberingChange w:id="13" w:author="Unknown" w:date="2011-01-10T08:38:00Z" w:original=""/>
        </w:numPr>
        <w:rPr>
          <w:rFonts w:ascii="Eurostile" w:hAnsi="Eurostile" w:cs="Eurostile"/>
          <w:sz w:val="28"/>
          <w:szCs w:val="28"/>
        </w:rPr>
      </w:pPr>
      <w:r>
        <w:rPr>
          <w:rFonts w:ascii="Eurostile" w:hAnsi="Eurostile" w:cs="Eurostile"/>
          <w:sz w:val="28"/>
          <w:szCs w:val="28"/>
        </w:rPr>
        <w:t xml:space="preserve">Corporate Tax rates will decrease substantially.  There will be a massive overhaul of the tax code in the United States in order to make us more competitive in the world economy.  Presently we are the second highest corporate tax rate in the world.  That will be adjusted down.  </w:t>
      </w:r>
    </w:p>
    <w:p w:rsidR="00207DE2" w:rsidRDefault="00207DE2">
      <w:pPr>
        <w:pStyle w:val="ListParagraph"/>
        <w:numPr>
          <w:ilvl w:val="0"/>
          <w:numId w:val="1"/>
          <w:numberingChange w:id="14" w:author="Unknown" w:date="2011-01-10T08:38:00Z" w:original=""/>
        </w:numPr>
        <w:rPr>
          <w:rFonts w:ascii="Eurostile" w:hAnsi="Eurostile" w:cs="Eurostile"/>
          <w:sz w:val="28"/>
          <w:szCs w:val="28"/>
        </w:rPr>
      </w:pPr>
      <w:r>
        <w:rPr>
          <w:rFonts w:ascii="Eurostile" w:hAnsi="Eurostile" w:cs="Eurostile"/>
          <w:sz w:val="28"/>
          <w:szCs w:val="28"/>
        </w:rPr>
        <w:t>Individual Absolute taxes paid will increase. We see all deductions being eliminated and current brackets maintained.  This will be done as an austerity measure to pay for the emergency indebtedness that was created during the “Great Recession of 2008 through 2013”</w:t>
      </w:r>
    </w:p>
    <w:p w:rsidR="00207DE2" w:rsidRDefault="00207DE2">
      <w:pPr>
        <w:pStyle w:val="ListParagraph"/>
        <w:numPr>
          <w:ilvl w:val="0"/>
          <w:numId w:val="1"/>
          <w:numberingChange w:id="15" w:author="Unknown" w:date="2011-01-10T08:38:00Z" w:original=""/>
        </w:numPr>
        <w:rPr>
          <w:rFonts w:ascii="Eurostile" w:hAnsi="Eurostile" w:cs="Eurostile"/>
          <w:sz w:val="28"/>
          <w:szCs w:val="28"/>
        </w:rPr>
      </w:pPr>
      <w:r>
        <w:rPr>
          <w:rFonts w:ascii="Eurostile" w:hAnsi="Eurostile" w:cs="Eurostile"/>
          <w:sz w:val="28"/>
          <w:szCs w:val="28"/>
        </w:rPr>
        <w:t>Every entitlement program in the United States will become means tested.  Anyone in the top 10 percent of income earners will get no benefits.  Those between 10 and 20 percent will get a reduced benefit.</w:t>
      </w:r>
    </w:p>
    <w:p w:rsidR="00207DE2" w:rsidRDefault="00207DE2">
      <w:pPr>
        <w:pStyle w:val="ListParagraph"/>
        <w:numPr>
          <w:ilvl w:val="0"/>
          <w:numId w:val="1"/>
          <w:numberingChange w:id="16" w:author="Unknown" w:date="2011-01-10T08:38:00Z" w:original=""/>
        </w:numPr>
        <w:rPr>
          <w:rFonts w:ascii="Eurostile" w:hAnsi="Eurostile" w:cs="Eurostile"/>
          <w:sz w:val="28"/>
          <w:szCs w:val="28"/>
        </w:rPr>
      </w:pPr>
      <w:r>
        <w:rPr>
          <w:rFonts w:ascii="Eurostile" w:hAnsi="Eurostile" w:cs="Eurostile"/>
          <w:sz w:val="28"/>
          <w:szCs w:val="28"/>
        </w:rPr>
        <w:t xml:space="preserve">Interest Rates on the ten-year bond will be twice what they are now by the end of the decade.  </w:t>
      </w:r>
    </w:p>
    <w:p w:rsidR="00207DE2" w:rsidRDefault="00207DE2">
      <w:pPr>
        <w:pStyle w:val="ListParagraph"/>
        <w:numPr>
          <w:ilvl w:val="0"/>
          <w:numId w:val="1"/>
          <w:numberingChange w:id="17" w:author="Unknown" w:date="2011-01-10T08:38:00Z" w:original=""/>
        </w:numPr>
        <w:rPr>
          <w:rFonts w:ascii="Eurostile" w:hAnsi="Eurostile" w:cs="Eurostile"/>
          <w:sz w:val="28"/>
          <w:szCs w:val="28"/>
        </w:rPr>
      </w:pPr>
      <w:r>
        <w:rPr>
          <w:rFonts w:ascii="Eurostile" w:hAnsi="Eurostile" w:cs="Eurostile"/>
          <w:sz w:val="28"/>
          <w:szCs w:val="28"/>
        </w:rPr>
        <w:t>The US Dollar will not be the reserve currency for the world.</w:t>
      </w:r>
    </w:p>
    <w:p w:rsidR="00207DE2" w:rsidRDefault="00207DE2">
      <w:pPr>
        <w:pStyle w:val="ListParagraph"/>
        <w:numPr>
          <w:ilvl w:val="0"/>
          <w:numId w:val="1"/>
          <w:numberingChange w:id="18" w:author="Unknown" w:date="2011-01-10T08:38:00Z" w:original=""/>
        </w:numPr>
        <w:rPr>
          <w:rFonts w:ascii="Eurostile" w:hAnsi="Eurostile" w:cs="Eurostile"/>
          <w:sz w:val="28"/>
          <w:szCs w:val="28"/>
        </w:rPr>
      </w:pPr>
      <w:r>
        <w:rPr>
          <w:rFonts w:ascii="Eurostile" w:hAnsi="Eurostile" w:cs="Eurostile"/>
          <w:sz w:val="28"/>
          <w:szCs w:val="28"/>
        </w:rPr>
        <w:t>As the lexicon of finance has embraced new levels of monetary largess during my career (Millions to billions to Trillions) it will continue and we will be using Quadrillion in everyday speech by the end of the decade.</w:t>
      </w:r>
    </w:p>
    <w:p w:rsidR="00207DE2" w:rsidRDefault="00207DE2">
      <w:pPr>
        <w:ind w:left="720"/>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As we finish this rather lengthy annual letter - let us apologize for the length – quarterly updates should be much shorter.  Hopefully there is a nugget or two that you find of value.  Let us leave you with a few “Simple Truths” or “Today’s Realities” from our perspective;</w:t>
      </w:r>
    </w:p>
    <w:p w:rsidR="00207DE2" w:rsidRDefault="00207DE2">
      <w:pPr>
        <w:ind w:left="720"/>
        <w:rPr>
          <w:rFonts w:ascii="Eurostile" w:hAnsi="Eurostile" w:cs="Eurostile"/>
          <w:sz w:val="28"/>
          <w:szCs w:val="28"/>
        </w:rPr>
      </w:pPr>
    </w:p>
    <w:p w:rsidR="00207DE2" w:rsidRDefault="00207DE2">
      <w:pPr>
        <w:pStyle w:val="ListParagraph"/>
        <w:numPr>
          <w:ilvl w:val="0"/>
          <w:numId w:val="1"/>
          <w:numberingChange w:id="19" w:author="Unknown" w:date="2011-01-10T08:38:00Z" w:original=""/>
        </w:numPr>
        <w:rPr>
          <w:rFonts w:ascii="Eurostile" w:hAnsi="Eurostile" w:cs="Eurostile"/>
          <w:sz w:val="28"/>
          <w:szCs w:val="28"/>
        </w:rPr>
      </w:pPr>
      <w:r>
        <w:rPr>
          <w:rFonts w:ascii="Eurostile" w:hAnsi="Eurostile" w:cs="Eurostile"/>
          <w:sz w:val="28"/>
          <w:szCs w:val="28"/>
        </w:rPr>
        <w:t>The dividend yields on many great multinational corporations are higher than the 10-year bond yield.</w:t>
      </w:r>
    </w:p>
    <w:p w:rsidR="00207DE2" w:rsidRDefault="00207DE2">
      <w:pPr>
        <w:pStyle w:val="ListParagraph"/>
        <w:numPr>
          <w:ilvl w:val="0"/>
          <w:numId w:val="1"/>
          <w:numberingChange w:id="20" w:author="Unknown" w:date="2011-01-10T08:38:00Z" w:original=""/>
        </w:numPr>
        <w:rPr>
          <w:rFonts w:ascii="Eurostile" w:hAnsi="Eurostile" w:cs="Eurostile"/>
          <w:sz w:val="28"/>
          <w:szCs w:val="28"/>
        </w:rPr>
      </w:pPr>
      <w:r>
        <w:rPr>
          <w:rFonts w:ascii="Eurostile" w:hAnsi="Eurostile" w:cs="Eurostile"/>
          <w:sz w:val="28"/>
          <w:szCs w:val="28"/>
        </w:rPr>
        <w:t>Bonds have no upside – Equities can grow</w:t>
      </w:r>
    </w:p>
    <w:p w:rsidR="00207DE2" w:rsidRDefault="00207DE2">
      <w:pPr>
        <w:pStyle w:val="ListParagraph"/>
        <w:numPr>
          <w:ilvl w:val="0"/>
          <w:numId w:val="1"/>
          <w:numberingChange w:id="21" w:author="Unknown" w:date="2011-01-10T08:38:00Z" w:original=""/>
        </w:numPr>
        <w:rPr>
          <w:rFonts w:ascii="Eurostile" w:hAnsi="Eurostile" w:cs="Eurostile"/>
          <w:sz w:val="28"/>
          <w:szCs w:val="28"/>
        </w:rPr>
      </w:pPr>
      <w:r>
        <w:rPr>
          <w:rFonts w:ascii="Eurostile" w:hAnsi="Eurostile" w:cs="Eurostile"/>
          <w:sz w:val="28"/>
          <w:szCs w:val="28"/>
        </w:rPr>
        <w:t>Equity valuations eventually will reflect inflation – Bonds simply lose purchasing power with inflation</w:t>
      </w:r>
    </w:p>
    <w:p w:rsidR="00207DE2" w:rsidRDefault="00207DE2">
      <w:pPr>
        <w:pStyle w:val="ListParagraph"/>
        <w:numPr>
          <w:ilvl w:val="0"/>
          <w:numId w:val="1"/>
          <w:numberingChange w:id="22" w:author="Unknown" w:date="2011-01-10T08:38:00Z" w:original=""/>
        </w:numPr>
        <w:rPr>
          <w:rFonts w:ascii="Eurostile" w:hAnsi="Eurostile" w:cs="Eurostile"/>
          <w:sz w:val="28"/>
          <w:szCs w:val="28"/>
        </w:rPr>
      </w:pPr>
      <w:r>
        <w:rPr>
          <w:rFonts w:ascii="Eurostile" w:hAnsi="Eurostile" w:cs="Eurostile"/>
          <w:sz w:val="28"/>
          <w:szCs w:val="28"/>
        </w:rPr>
        <w:t>As the population grows, so does the overall economy – and the birthrate and immigration are growing our population</w:t>
      </w:r>
    </w:p>
    <w:p w:rsidR="00207DE2" w:rsidRDefault="00207DE2">
      <w:pPr>
        <w:pStyle w:val="ListParagraph"/>
        <w:numPr>
          <w:ilvl w:val="0"/>
          <w:numId w:val="1"/>
          <w:numberingChange w:id="23" w:author="Unknown" w:date="2011-01-10T08:38:00Z" w:original=""/>
        </w:numPr>
        <w:rPr>
          <w:rFonts w:ascii="Eurostile" w:hAnsi="Eurostile" w:cs="Eurostile"/>
          <w:sz w:val="28"/>
          <w:szCs w:val="28"/>
        </w:rPr>
      </w:pPr>
      <w:r>
        <w:rPr>
          <w:rFonts w:ascii="Eurostile" w:hAnsi="Eurostile" w:cs="Eurostile"/>
          <w:sz w:val="28"/>
          <w:szCs w:val="28"/>
        </w:rPr>
        <w:t>Baby Boomers are not retiring (they can’t afford to) and will be working longer.</w:t>
      </w:r>
    </w:p>
    <w:p w:rsidR="00207DE2" w:rsidRDefault="00207DE2">
      <w:pPr>
        <w:pStyle w:val="ListParagraph"/>
        <w:numPr>
          <w:ilvl w:val="0"/>
          <w:numId w:val="1"/>
          <w:numberingChange w:id="24" w:author="Unknown" w:date="2011-01-10T08:38:00Z" w:original=""/>
        </w:numPr>
        <w:rPr>
          <w:rFonts w:ascii="Eurostile" w:hAnsi="Eurostile" w:cs="Eurostile"/>
          <w:sz w:val="28"/>
          <w:szCs w:val="28"/>
        </w:rPr>
      </w:pPr>
      <w:r>
        <w:rPr>
          <w:rFonts w:ascii="Eurostile" w:hAnsi="Eurostile" w:cs="Eurostile"/>
          <w:sz w:val="28"/>
          <w:szCs w:val="28"/>
        </w:rPr>
        <w:t>Baby Boomers are getting older, and elder services will be a growth area of the economy.</w:t>
      </w:r>
    </w:p>
    <w:p w:rsidR="00207DE2" w:rsidRDefault="00207DE2">
      <w:pPr>
        <w:pStyle w:val="ListParagraph"/>
        <w:numPr>
          <w:ilvl w:val="0"/>
          <w:numId w:val="1"/>
          <w:numberingChange w:id="25" w:author="Unknown" w:date="2011-01-10T08:38:00Z" w:original=""/>
        </w:numPr>
        <w:rPr>
          <w:rFonts w:ascii="Eurostile" w:hAnsi="Eurostile" w:cs="Eurostile"/>
          <w:sz w:val="28"/>
          <w:szCs w:val="28"/>
        </w:rPr>
      </w:pPr>
      <w:r>
        <w:rPr>
          <w:rFonts w:ascii="Eurostile" w:hAnsi="Eurostile" w:cs="Eurostile"/>
          <w:sz w:val="28"/>
          <w:szCs w:val="28"/>
        </w:rPr>
        <w:t>Mortgage Rates are historically low (If you have not already done so we suggest you refinance into fixed rate mortgages)</w:t>
      </w:r>
    </w:p>
    <w:p w:rsidR="00207DE2" w:rsidRDefault="00207DE2">
      <w:pPr>
        <w:rPr>
          <w:rFonts w:ascii="Eurostile" w:hAnsi="Eurostile" w:cs="Eurostile"/>
          <w:sz w:val="28"/>
          <w:szCs w:val="28"/>
        </w:rPr>
      </w:pPr>
    </w:p>
    <w:p w:rsidR="00207DE2" w:rsidRDefault="00207DE2">
      <w:pPr>
        <w:rPr>
          <w:rFonts w:ascii="Eurostile" w:hAnsi="Eurostile" w:cs="Eurostile"/>
          <w:color w:val="333333"/>
          <w:sz w:val="28"/>
          <w:szCs w:val="28"/>
        </w:rPr>
      </w:pPr>
      <w:r>
        <w:rPr>
          <w:rFonts w:ascii="Eurostile" w:hAnsi="Eurostile" w:cs="Eurostile"/>
          <w:color w:val="333333"/>
          <w:sz w:val="28"/>
          <w:szCs w:val="28"/>
        </w:rPr>
        <w:t>Again we want to thank you for your continued confidence and the opportunity to manage your investments.  We take very seriously our responsibility and will always endeavor to be responsive to your questions and concerns.  We welcome and encourage your comments as well.</w:t>
      </w:r>
    </w:p>
    <w:p w:rsidR="00207DE2" w:rsidRDefault="00207DE2">
      <w:pPr>
        <w:rPr>
          <w:rFonts w:ascii="Eurostile" w:hAnsi="Eurostile" w:cs="Eurostile"/>
          <w:color w:val="333333"/>
          <w:sz w:val="28"/>
          <w:szCs w:val="28"/>
        </w:rPr>
      </w:pPr>
    </w:p>
    <w:p w:rsidR="00207DE2" w:rsidRDefault="00207DE2">
      <w:pPr>
        <w:rPr>
          <w:rFonts w:ascii="Eurostile" w:hAnsi="Eurostile" w:cs="Eurostile"/>
          <w:color w:val="333333"/>
          <w:sz w:val="28"/>
          <w:szCs w:val="28"/>
        </w:rPr>
      </w:pPr>
      <w:r>
        <w:rPr>
          <w:rFonts w:ascii="Eurostile" w:hAnsi="Eurostile" w:cs="Eurostile"/>
          <w:color w:val="333333"/>
          <w:sz w:val="28"/>
          <w:szCs w:val="28"/>
        </w:rPr>
        <w:t>Montecito Investment Portfolios Mission:  To provide diversified, disciplined, long-term investment solutions, service and guidance for helping our clients achieve their “Financial Independence”.</w:t>
      </w:r>
    </w:p>
    <w:p w:rsidR="00207DE2" w:rsidRDefault="00207DE2">
      <w:pPr>
        <w:rPr>
          <w:rFonts w:ascii="Eurostile" w:hAnsi="Eurostile" w:cs="Eurostile"/>
          <w:color w:val="333333"/>
          <w:sz w:val="28"/>
          <w:szCs w:val="28"/>
        </w:rPr>
      </w:pPr>
    </w:p>
    <w:p w:rsidR="00207DE2" w:rsidRDefault="00207DE2">
      <w:pPr>
        <w:rPr>
          <w:rFonts w:ascii="Eurostile" w:hAnsi="Eurostile" w:cs="Eurostile"/>
          <w:color w:val="333333"/>
          <w:sz w:val="28"/>
          <w:szCs w:val="28"/>
        </w:rPr>
      </w:pPr>
    </w:p>
    <w:p w:rsidR="00207DE2" w:rsidRDefault="00207DE2">
      <w:pPr>
        <w:rPr>
          <w:rFonts w:ascii="Eurostile" w:hAnsi="Eurostile" w:cs="Eurostile"/>
          <w:color w:val="333333"/>
          <w:sz w:val="28"/>
          <w:szCs w:val="28"/>
        </w:rPr>
      </w:pPr>
    </w:p>
    <w:p w:rsidR="00207DE2" w:rsidRDefault="00207DE2">
      <w:pPr>
        <w:rPr>
          <w:rFonts w:ascii="Eurostile" w:hAnsi="Eurostile" w:cs="Eurostile"/>
          <w:color w:val="333333"/>
          <w:sz w:val="28"/>
          <w:szCs w:val="28"/>
        </w:rPr>
      </w:pPr>
    </w:p>
    <w:p w:rsidR="00207DE2" w:rsidRDefault="00207DE2">
      <w:pPr>
        <w:rPr>
          <w:rFonts w:ascii="Eurostile" w:hAnsi="Eurostile" w:cs="Eurostile"/>
          <w:sz w:val="28"/>
          <w:szCs w:val="28"/>
        </w:rPr>
      </w:pPr>
      <w:r>
        <w:rPr>
          <w:rFonts w:ascii="Eurostile" w:hAnsi="Eurostile" w:cs="Eurostile"/>
          <w:sz w:val="28"/>
          <w:szCs w:val="28"/>
        </w:rPr>
        <w:t>Blake Todd</w:t>
      </w:r>
      <w:r>
        <w:rPr>
          <w:rFonts w:ascii="Eurostile" w:hAnsi="Eurostile" w:cs="Eurostile"/>
          <w:sz w:val="28"/>
          <w:szCs w:val="28"/>
        </w:rPr>
        <w:tab/>
      </w:r>
      <w:r>
        <w:rPr>
          <w:rFonts w:ascii="Eurostile" w:hAnsi="Eurostile" w:cs="Eurostile"/>
          <w:sz w:val="28"/>
          <w:szCs w:val="28"/>
        </w:rPr>
        <w:tab/>
      </w:r>
      <w:r>
        <w:rPr>
          <w:rFonts w:ascii="Eurostile" w:hAnsi="Eurostile" w:cs="Eurostile"/>
          <w:sz w:val="28"/>
          <w:szCs w:val="28"/>
        </w:rPr>
        <w:tab/>
      </w:r>
      <w:r>
        <w:rPr>
          <w:rFonts w:ascii="Eurostile" w:hAnsi="Eurostile" w:cs="Eurostile"/>
          <w:sz w:val="28"/>
          <w:szCs w:val="28"/>
        </w:rPr>
        <w:tab/>
        <w:t>Jarrett Perez</w:t>
      </w:r>
    </w:p>
    <w:p w:rsidR="00207DE2" w:rsidRDefault="00207DE2">
      <w:pPr>
        <w:rPr>
          <w:rFonts w:ascii="Eurostile" w:hAnsi="Eurostile" w:cs="Eurostile"/>
          <w:sz w:val="28"/>
          <w:szCs w:val="28"/>
        </w:rPr>
      </w:pPr>
      <w:r>
        <w:rPr>
          <w:rFonts w:ascii="Eurostile" w:hAnsi="Eurostile" w:cs="Eurostile"/>
          <w:sz w:val="28"/>
          <w:szCs w:val="28"/>
        </w:rPr>
        <w:t>Portfolio Manager</w:t>
      </w:r>
      <w:r>
        <w:rPr>
          <w:rFonts w:ascii="Eurostile" w:hAnsi="Eurostile" w:cs="Eurostile"/>
          <w:sz w:val="28"/>
          <w:szCs w:val="28"/>
        </w:rPr>
        <w:tab/>
      </w:r>
      <w:r>
        <w:rPr>
          <w:rFonts w:ascii="Eurostile" w:hAnsi="Eurostile" w:cs="Eurostile"/>
          <w:sz w:val="28"/>
          <w:szCs w:val="28"/>
        </w:rPr>
        <w:tab/>
        <w:t>Assistant Portfolio Manager</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r>
        <w:rPr>
          <w:rFonts w:ascii="Eurostile" w:hAnsi="Eurostile" w:cs="Eurostile"/>
          <w:sz w:val="28"/>
          <w:szCs w:val="28"/>
        </w:rPr>
        <w:t>And Now a word from our sponsors with Important Disclosures</w:t>
      </w:r>
    </w:p>
    <w:p w:rsidR="00207DE2" w:rsidRDefault="00207DE2">
      <w:pPr>
        <w:autoSpaceDE w:val="0"/>
        <w:autoSpaceDN w:val="0"/>
        <w:adjustRightInd w:val="0"/>
        <w:spacing w:before="10" w:after="60"/>
        <w:rPr>
          <w:rFonts w:ascii="Arial" w:hAnsi="Arial" w:cs="Arial"/>
          <w:sz w:val="20"/>
          <w:szCs w:val="20"/>
        </w:rPr>
      </w:pPr>
      <w:r>
        <w:rPr>
          <w:rFonts w:ascii="Arial" w:hAnsi="Arial" w:cs="Arial"/>
          <w:sz w:val="20"/>
          <w:szCs w:val="20"/>
        </w:rPr>
        <w:t xml:space="preserve">This Annual letter expresses the personal views of the author and Montecito Investment Portfolios on the current and future economic and investment landscape, at this date. It is subject to change and is not necessarily the opinion of Crowell, Weedon &amp; Co. or its Partners. </w:t>
      </w:r>
    </w:p>
    <w:p w:rsidR="00207DE2" w:rsidRDefault="00207DE2">
      <w:pPr>
        <w:pStyle w:val="Default"/>
        <w:spacing w:before="10" w:after="60"/>
        <w:rPr>
          <w:sz w:val="20"/>
          <w:szCs w:val="20"/>
        </w:rPr>
      </w:pPr>
      <w:r>
        <w:rPr>
          <w:sz w:val="20"/>
          <w:szCs w:val="20"/>
        </w:rPr>
        <w:t>The information contained in this presentation has been taken from trade and statistical services and other source, which we believe to be reliable. We do not guarantee that this information is accurate or complete and it should not be relied upon as such.</w:t>
      </w:r>
    </w:p>
    <w:p w:rsidR="00207DE2" w:rsidRDefault="00207DE2">
      <w:pPr>
        <w:pStyle w:val="Default"/>
        <w:spacing w:before="10" w:after="60"/>
        <w:rPr>
          <w:color w:val="auto"/>
          <w:sz w:val="20"/>
          <w:szCs w:val="20"/>
        </w:rPr>
      </w:pPr>
      <w:r>
        <w:rPr>
          <w:color w:val="auto"/>
          <w:sz w:val="20"/>
          <w:szCs w:val="20"/>
        </w:rPr>
        <w:t xml:space="preserve">This presentation is for informational and illustrative purposes only, and is not intended to meet the objectives or suitability requirements of any specific individual or account. An investor should assess his/her own investment needs based on his/her own financial circumstances and investment objectives. </w:t>
      </w:r>
    </w:p>
    <w:p w:rsidR="00207DE2" w:rsidRDefault="00207DE2">
      <w:pPr>
        <w:autoSpaceDE w:val="0"/>
        <w:autoSpaceDN w:val="0"/>
        <w:adjustRightInd w:val="0"/>
        <w:spacing w:before="10" w:after="60"/>
        <w:rPr>
          <w:rFonts w:ascii="Arial" w:hAnsi="Arial" w:cs="Arial"/>
          <w:color w:val="231F20"/>
          <w:sz w:val="20"/>
          <w:szCs w:val="20"/>
        </w:rPr>
      </w:pPr>
      <w:r>
        <w:rPr>
          <w:rFonts w:ascii="Arial" w:hAnsi="Arial" w:cs="Arial"/>
          <w:color w:val="231F20"/>
          <w:sz w:val="20"/>
          <w:szCs w:val="20"/>
        </w:rPr>
        <w:t>The predictions, projections, or other information generated by the author regarding the likelihood of various future outcomes are hypothetical in nature, do not reflect actual investment results and are not guarantees of future results.</w:t>
      </w:r>
    </w:p>
    <w:p w:rsidR="00207DE2" w:rsidRDefault="00207DE2">
      <w:pPr>
        <w:autoSpaceDE w:val="0"/>
        <w:autoSpaceDN w:val="0"/>
        <w:adjustRightInd w:val="0"/>
        <w:spacing w:before="10" w:after="60"/>
        <w:rPr>
          <w:rFonts w:ascii="Arial" w:hAnsi="Arial" w:cs="Arial"/>
          <w:sz w:val="20"/>
          <w:szCs w:val="20"/>
        </w:rPr>
      </w:pPr>
      <w:r>
        <w:rPr>
          <w:rFonts w:ascii="Arial" w:hAnsi="Arial" w:cs="Arial"/>
          <w:sz w:val="20"/>
          <w:szCs w:val="20"/>
        </w:rPr>
        <w:t>Neither this presentation, nor any chart or graphs within this presentation may be used, in or of themselves, to constitute investment advice. They are for informational and educational purposes only.</w:t>
      </w:r>
    </w:p>
    <w:p w:rsidR="00207DE2" w:rsidRDefault="00207DE2">
      <w:pPr>
        <w:pStyle w:val="Default"/>
        <w:spacing w:before="10" w:after="60"/>
        <w:rPr>
          <w:sz w:val="20"/>
          <w:szCs w:val="20"/>
        </w:rPr>
      </w:pPr>
      <w:r>
        <w:rPr>
          <w:sz w:val="20"/>
          <w:szCs w:val="20"/>
        </w:rPr>
        <w:t>There are risks inherent in any investment and there is no assurance that any money manager, asset class, style or index will provide positive performance over time. The investment return and principal value of an investment will fluctuate, so that an investor’s shares, when redeemed, may be worth more or less than their original cost.</w:t>
      </w:r>
    </w:p>
    <w:p w:rsidR="00207DE2" w:rsidRDefault="00207DE2">
      <w:pPr>
        <w:autoSpaceDE w:val="0"/>
        <w:autoSpaceDN w:val="0"/>
        <w:adjustRightInd w:val="0"/>
        <w:spacing w:before="10" w:after="60"/>
        <w:rPr>
          <w:rFonts w:ascii="Arial" w:hAnsi="Arial" w:cs="Arial"/>
          <w:sz w:val="20"/>
          <w:szCs w:val="20"/>
        </w:rPr>
      </w:pPr>
      <w:r>
        <w:rPr>
          <w:rFonts w:ascii="Arial" w:hAnsi="Arial" w:cs="Arial"/>
          <w:sz w:val="20"/>
          <w:szCs w:val="20"/>
        </w:rPr>
        <w:t xml:space="preserve">The </w:t>
      </w:r>
      <w:r>
        <w:rPr>
          <w:rFonts w:ascii="Arial" w:hAnsi="Arial" w:cs="Arial"/>
          <w:b/>
          <w:bCs/>
          <w:sz w:val="20"/>
          <w:szCs w:val="20"/>
        </w:rPr>
        <w:t>Dow Jones Industrial Average</w:t>
      </w:r>
      <w:r>
        <w:rPr>
          <w:rFonts w:ascii="Arial" w:hAnsi="Arial" w:cs="Arial"/>
          <w:sz w:val="20"/>
          <w:szCs w:val="20"/>
        </w:rPr>
        <w:t xml:space="preserve"> is a price-weighted average of 30 significant stocks traded on the New York Stock Exchange and the NASDAQ. </w:t>
      </w:r>
    </w:p>
    <w:p w:rsidR="00207DE2" w:rsidRDefault="00207DE2">
      <w:pPr>
        <w:autoSpaceDE w:val="0"/>
        <w:autoSpaceDN w:val="0"/>
        <w:adjustRightInd w:val="0"/>
        <w:spacing w:before="10" w:after="60"/>
        <w:rPr>
          <w:rFonts w:ascii="Arial" w:hAnsi="Arial" w:cs="Arial"/>
          <w:sz w:val="20"/>
          <w:szCs w:val="20"/>
        </w:rPr>
      </w:pPr>
      <w:r>
        <w:rPr>
          <w:rFonts w:ascii="Arial" w:hAnsi="Arial" w:cs="Arial"/>
          <w:sz w:val="20"/>
          <w:szCs w:val="20"/>
        </w:rPr>
        <w:t xml:space="preserve">The </w:t>
      </w:r>
      <w:r>
        <w:rPr>
          <w:rFonts w:ascii="Arial" w:hAnsi="Arial" w:cs="Arial"/>
          <w:b/>
          <w:bCs/>
          <w:sz w:val="20"/>
          <w:szCs w:val="20"/>
        </w:rPr>
        <w:t>Standard &amp; Poor’s 500</w:t>
      </w:r>
      <w:r>
        <w:rPr>
          <w:rFonts w:ascii="Arial" w:hAnsi="Arial" w:cs="Arial"/>
          <w:sz w:val="20"/>
          <w:szCs w:val="20"/>
        </w:rPr>
        <w:t xml:space="preserve"> is a capitalization weighted index comprised of 500 widely-held stocks on US stock exchanges. </w:t>
      </w:r>
    </w:p>
    <w:p w:rsidR="00207DE2" w:rsidRDefault="00207DE2">
      <w:pPr>
        <w:autoSpaceDE w:val="0"/>
        <w:autoSpaceDN w:val="0"/>
        <w:adjustRightInd w:val="0"/>
        <w:spacing w:before="10" w:after="60"/>
        <w:rPr>
          <w:rFonts w:ascii="Arial" w:hAnsi="Arial" w:cs="Arial"/>
          <w:sz w:val="20"/>
          <w:szCs w:val="20"/>
        </w:rPr>
      </w:pPr>
      <w:r>
        <w:rPr>
          <w:rFonts w:ascii="Arial" w:hAnsi="Arial" w:cs="Arial"/>
          <w:b/>
          <w:bCs/>
          <w:sz w:val="20"/>
          <w:szCs w:val="20"/>
        </w:rPr>
        <w:t>Quantitative Easing 2</w:t>
      </w:r>
      <w:r>
        <w:rPr>
          <w:rFonts w:ascii="Arial" w:hAnsi="Arial" w:cs="Arial"/>
          <w:sz w:val="20"/>
          <w:szCs w:val="20"/>
        </w:rPr>
        <w:t xml:space="preserve"> – The second round of the Federal Reserve’s monetary policy used to stimulate the U.S. economy following the recession. The Fed creates money which it uses to buy government bonds and other financial assets in order to increase the money supply. </w:t>
      </w:r>
    </w:p>
    <w:p w:rsidR="00207DE2" w:rsidRDefault="00207DE2">
      <w:pPr>
        <w:autoSpaceDE w:val="0"/>
        <w:autoSpaceDN w:val="0"/>
        <w:adjustRightInd w:val="0"/>
        <w:spacing w:before="10" w:after="60"/>
        <w:rPr>
          <w:rFonts w:ascii="Arial" w:hAnsi="Arial" w:cs="Arial"/>
          <w:sz w:val="20"/>
          <w:szCs w:val="20"/>
        </w:rPr>
      </w:pPr>
      <w:r>
        <w:rPr>
          <w:rFonts w:ascii="Arial" w:hAnsi="Arial" w:cs="Arial"/>
          <w:b/>
          <w:bCs/>
          <w:sz w:val="20"/>
          <w:szCs w:val="20"/>
        </w:rPr>
        <w:t>PE Compression</w:t>
      </w:r>
      <w:r>
        <w:rPr>
          <w:rFonts w:ascii="Arial" w:hAnsi="Arial" w:cs="Arial"/>
          <w:sz w:val="20"/>
          <w:szCs w:val="20"/>
        </w:rPr>
        <w:t xml:space="preserve"> – The effect that arises when a stock trades at a certain multiple and, while earnings may be strong, the stock price doesn't move up (or even goes down). The result is that the given multiple (P/E ratio) is reduced even though nothing is fundamentally wrong with the company. Compression of a company's multiple can be interpreted as the valuation being called into question.</w:t>
      </w: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p w:rsidR="00207DE2" w:rsidRDefault="00207DE2">
      <w:pPr>
        <w:rPr>
          <w:rFonts w:ascii="Eurostile" w:hAnsi="Eurostile" w:cs="Eurostile"/>
          <w:sz w:val="28"/>
          <w:szCs w:val="28"/>
        </w:rPr>
      </w:pPr>
    </w:p>
    <w:sectPr w:rsidR="00207DE2" w:rsidSect="00207DE2">
      <w:footerReference w:type="default" r:id="rId11"/>
      <w:pgSz w:w="12240" w:h="15840"/>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7DE2" w:rsidRDefault="00207DE2" w:rsidP="00207DE2">
      <w:r>
        <w:separator/>
      </w:r>
    </w:p>
  </w:endnote>
  <w:endnote w:type="continuationSeparator" w:id="1">
    <w:p w:rsidR="00207DE2" w:rsidRDefault="00207DE2" w:rsidP="00207DE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Eurostile">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DE2" w:rsidRDefault="00207DE2">
    <w:pPr>
      <w:pStyle w:val="Foot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207DE2" w:rsidRDefault="00207D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7DE2" w:rsidRDefault="00207DE2" w:rsidP="00207DE2">
      <w:r>
        <w:separator/>
      </w:r>
    </w:p>
  </w:footnote>
  <w:footnote w:type="continuationSeparator" w:id="1">
    <w:p w:rsidR="00207DE2" w:rsidRDefault="00207DE2" w:rsidP="00207D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C1B84"/>
    <w:multiLevelType w:val="hybridMultilevel"/>
    <w:tmpl w:val="7C949C82"/>
    <w:lvl w:ilvl="0" w:tplc="521C8C3C">
      <w:numFmt w:val="bullet"/>
      <w:lvlText w:val=""/>
      <w:lvlJc w:val="left"/>
      <w:pPr>
        <w:ind w:left="1080" w:hanging="360"/>
      </w:pPr>
      <w:rPr>
        <w:rFonts w:ascii="Symbol" w:eastAsia="Times New Roman"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trackRevisions/>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07DE2"/>
    <w:rsid w:val="00207DE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nhideWhenUsed="0"/>
    <w:lsdException w:name="caption" w:uiPriority="35" w:qFormat="1"/>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Cambria" w:hAnsi="Cambria" w:cs="Cambria"/>
      <w:sz w:val="24"/>
      <w:szCs w:val="24"/>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rFonts w:ascii="Times New Roman" w:hAnsi="Times New Roman" w:cs="Times New Roman"/>
      <w:color w:val="0000FF"/>
      <w:u w:val="single"/>
    </w:rPr>
  </w:style>
  <w:style w:type="paragraph" w:styleId="ListParagraph">
    <w:name w:val="List Paragraph"/>
    <w:basedOn w:val="Normal"/>
    <w:uiPriority w:val="99"/>
    <w:qFormat/>
    <w:pPr>
      <w:ind w:left="720"/>
    </w:p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emiHidden/>
    <w:rsid w:val="00207DE2"/>
    <w:rPr>
      <w:rFonts w:ascii="Cambria" w:hAnsi="Cambria" w:cs="Cambria"/>
      <w:sz w:val="24"/>
      <w:szCs w:val="24"/>
    </w:rPr>
  </w:style>
  <w:style w:type="character" w:styleId="PageNumber">
    <w:name w:val="page number"/>
    <w:basedOn w:val="DefaultParagraphFont"/>
    <w:uiPriority w:val="99"/>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10</Pages>
  <Words>2456</Words>
  <Characters>14004</Characters>
  <Application>Microsoft Office Outlook</Application>
  <DocSecurity>0</DocSecurity>
  <Lines>0</Lines>
  <Paragraphs>0</Paragraphs>
  <ScaleCrop>false</ScaleCrop>
  <Company>Two Oaks Investment Management, LLC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Montecito Investment Portfolios</dc:title>
  <dc:subject/>
  <dc:creator>btodd</dc:creator>
  <cp:keywords/>
  <dc:description/>
  <cp:lastModifiedBy>btodd</cp:lastModifiedBy>
  <cp:revision>2</cp:revision>
  <cp:lastPrinted>2011-01-10T16:36:00Z</cp:lastPrinted>
  <dcterms:created xsi:type="dcterms:W3CDTF">2011-01-10T16:39:00Z</dcterms:created>
  <dcterms:modified xsi:type="dcterms:W3CDTF">2011-01-10T16:39:00Z</dcterms:modified>
</cp:coreProperties>
</file>